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013A5" w14:textId="77777777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Прием детей  осуществляется в соответствии с приказом Министерства просвещения РФ от</w:t>
      </w:r>
      <w:r w:rsidRPr="00CB4D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4D85">
        <w:rPr>
          <w:rFonts w:ascii="Times New Roman" w:hAnsi="Times New Roman" w:cs="Times New Roman"/>
          <w:sz w:val="24"/>
          <w:szCs w:val="24"/>
        </w:rPr>
        <w:t>15.05.2020 года</w:t>
      </w:r>
      <w:r w:rsidRPr="00CB4D85">
        <w:rPr>
          <w:rFonts w:ascii="Times New Roman" w:hAnsi="Times New Roman" w:cs="Times New Roman"/>
          <w:b/>
          <w:bCs/>
          <w:sz w:val="24"/>
          <w:szCs w:val="24"/>
        </w:rPr>
        <w:t xml:space="preserve"> № 236 «Об утверждении Порядка приема на обучение по образовательным программам дошкольного образования» и </w:t>
      </w:r>
      <w:r w:rsidRPr="00CB4D85">
        <w:rPr>
          <w:rFonts w:ascii="Times New Roman" w:hAnsi="Times New Roman" w:cs="Times New Roman"/>
          <w:sz w:val="24"/>
          <w:szCs w:val="24"/>
        </w:rPr>
        <w:t xml:space="preserve">с распоряжением Комитета по образованию от 29.10.2021 г </w:t>
      </w:r>
      <w:r w:rsidRPr="00CB4D85">
        <w:rPr>
          <w:rFonts w:ascii="Times New Roman" w:hAnsi="Times New Roman" w:cs="Times New Roman"/>
          <w:b/>
          <w:bCs/>
          <w:sz w:val="24"/>
          <w:szCs w:val="24"/>
        </w:rPr>
        <w:t>№2977-р «Об утверждении административного регламента администрации района Санкт-Петербурга по предоставлению государственной услуги по осуществлению комплектования государственных образовательных учреждений, реализующих образовательную программу дошкольного образования, находящихся в ведении администраций районов Санкт-Петербурга».</w:t>
      </w:r>
    </w:p>
    <w:p w14:paraId="2922C981" w14:textId="02637396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С 1 февраля текущего года начинается комплектование ДОУ на учебный год. В феврале Комиссия по комплектованию рассматривает заявления граждан льготных категорий, в том числе, заявления на детей, чьи родители занимают штатную должность в ДОУ, и чьи братья и сестры посещают ДОУ на дату поступления ребенка в детский сад. </w:t>
      </w:r>
    </w:p>
    <w:p w14:paraId="554F897C" w14:textId="77777777" w:rsidR="00CB4D85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>Выдача направлений в ДОУ происходит в следующем порядке:</w:t>
      </w:r>
    </w:p>
    <w:p w14:paraId="71677232" w14:textId="348B444C" w:rsidR="00CB4D85" w:rsidRPr="00CB4D85" w:rsidRDefault="00C729DD" w:rsidP="000A3A98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дети, имеющие право внеочередного приема в ДОУ;</w:t>
      </w:r>
    </w:p>
    <w:p w14:paraId="72589EB1" w14:textId="5DC7E442" w:rsidR="00CB4D85" w:rsidRPr="00CB4D85" w:rsidRDefault="00C729DD" w:rsidP="000A3A98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дети, имеющие право первоочередного приема в ДОУ;</w:t>
      </w:r>
    </w:p>
    <w:p w14:paraId="68D12E1E" w14:textId="588CB136" w:rsidR="00CB4D85" w:rsidRPr="00CB4D85" w:rsidRDefault="00C729DD" w:rsidP="000A3A98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дети, стоящие на учете по переводу из ДОУ одного района Санкт-Петербурга в ДОУ другого района Санкт-Петербурга;</w:t>
      </w:r>
    </w:p>
    <w:p w14:paraId="11D00DCA" w14:textId="28773A69" w:rsidR="00CB4D85" w:rsidRPr="00CB4D85" w:rsidRDefault="00C729DD" w:rsidP="000A3A98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дети из списка "очередников" (те, кому не было предоставлено ДОУ в предшествующий период комплектования);</w:t>
      </w:r>
    </w:p>
    <w:p w14:paraId="36992AF0" w14:textId="70D24AEA" w:rsidR="00C729DD" w:rsidRPr="00CB4D85" w:rsidRDefault="00C729DD" w:rsidP="000A3A98">
      <w:pPr>
        <w:pStyle w:val="a5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дети, стоящие на учете или на учете по переводу из одного ДОУ в другое одного района Санкт-Петербурга.</w:t>
      </w:r>
    </w:p>
    <w:p w14:paraId="2D110132" w14:textId="77777777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 xml:space="preserve">До 1 февраля текущего учебного года </w:t>
      </w:r>
      <w:r w:rsidRPr="00CB4D85">
        <w:rPr>
          <w:rFonts w:ascii="Times New Roman" w:hAnsi="Times New Roman" w:cs="Times New Roman"/>
          <w:sz w:val="24"/>
          <w:szCs w:val="24"/>
        </w:rPr>
        <w:t>необходимо направить на Портал или предоставить в МФЦ оригиналы документов, подтверждающие право заявителя на внеочередное или первоочередное зачисление ребенка.</w:t>
      </w:r>
    </w:p>
    <w:p w14:paraId="0067A400" w14:textId="5F899F9A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>В период с 1 февраля по 30 июня </w:t>
      </w:r>
      <w:r w:rsidRPr="00CB4D85">
        <w:rPr>
          <w:rFonts w:ascii="Times New Roman" w:hAnsi="Times New Roman" w:cs="Times New Roman"/>
          <w:sz w:val="24"/>
          <w:szCs w:val="24"/>
        </w:rPr>
        <w:t>Комиссия по комплектованию рассмотрит все заявления и направит на Портал и в МФЦ информацию о принятом решении: направление в одно из приоритетных ДОУ, уведомление о предоставлении замены ДОУ или вариативной формы дошкольного образования, отказ в предоставлении услуги. </w:t>
      </w:r>
      <w:r w:rsidRPr="00CB4D85">
        <w:rPr>
          <w:rFonts w:ascii="Times New Roman" w:hAnsi="Times New Roman" w:cs="Times New Roman"/>
          <w:sz w:val="24"/>
          <w:szCs w:val="24"/>
        </w:rPr>
        <w:br/>
      </w:r>
      <w:r w:rsidRPr="00CB4D85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  <w:r w:rsidRPr="00CB4D85">
        <w:rPr>
          <w:rFonts w:ascii="Times New Roman" w:hAnsi="Times New Roman" w:cs="Times New Roman"/>
          <w:sz w:val="24"/>
          <w:szCs w:val="24"/>
        </w:rPr>
        <w:t> Еженедельно проверяйте статус Вашего заявления на портале «Государственные услуги в Санкт-Петербурге» по адресу: http://gu.spb.ru (в личном кабинете) или уточняйте в МФЦ.</w:t>
      </w:r>
    </w:p>
    <w:p w14:paraId="0032827C" w14:textId="563CAFF5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>Комиссия выдает направление</w:t>
      </w:r>
      <w:r w:rsidRPr="00CB4D85">
        <w:rPr>
          <w:rFonts w:ascii="Times New Roman" w:hAnsi="Times New Roman" w:cs="Times New Roman"/>
          <w:sz w:val="24"/>
          <w:szCs w:val="24"/>
        </w:rPr>
        <w:t> в срок не позднее завершения периода комплектования на новый учебный год, в период доукомплектования - в течение 10 рабочих дней при наличии вакантного места в Образовательной организации. Направление действительно в течение 30 календарных дней с даты уведомления заявителя. Датой уведомления заявителя является дата формирования комиссией на Портале электронного направления (в случае подачи заявления в электронном виде через Портал) или дата оповещения о возможности получения направления в СПб ГКУ «МФЦ» (в случае подачи заявления посредством СПб ГКУ «МФЦ»)</w:t>
      </w:r>
      <w:r w:rsidR="00CB4D85">
        <w:rPr>
          <w:rFonts w:ascii="Times New Roman" w:hAnsi="Times New Roman" w:cs="Times New Roman"/>
          <w:sz w:val="24"/>
          <w:szCs w:val="24"/>
        </w:rPr>
        <w:t xml:space="preserve">. </w:t>
      </w:r>
      <w:r w:rsidRPr="00CB4D85">
        <w:rPr>
          <w:rFonts w:ascii="Times New Roman" w:hAnsi="Times New Roman" w:cs="Times New Roman"/>
          <w:sz w:val="24"/>
          <w:szCs w:val="24"/>
        </w:rPr>
        <w:t xml:space="preserve">В течение 3 рабочих дней после приема документов ГБДОУ зачисляет ребенка или отказывает в зачислении ребенка в группу. В случае непредоставления родителями медицинского заключения или оригиналов документов для зачисления в ГБДОУ (перечислены ниже), </w:t>
      </w:r>
      <w:r w:rsidRPr="00CB4D85">
        <w:rPr>
          <w:rFonts w:ascii="Times New Roman" w:hAnsi="Times New Roman" w:cs="Times New Roman"/>
          <w:sz w:val="24"/>
          <w:szCs w:val="24"/>
        </w:rPr>
        <w:lastRenderedPageBreak/>
        <w:t>направление утрачивает силу, а ребенок остается на учете и включается в список следующего года. </w:t>
      </w:r>
    </w:p>
    <w:p w14:paraId="2CC47CFB" w14:textId="004970FF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>Перечень документов для зачисления в ГБДОУ детский сад №41 Адмиралтейского района СПб:</w:t>
      </w:r>
    </w:p>
    <w:p w14:paraId="08FB69ED" w14:textId="45DDC605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Заявление о зачислении ребёнка в детский сад;</w:t>
      </w:r>
    </w:p>
    <w:p w14:paraId="301B6890" w14:textId="373299F2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Договор об образовании по образовательной программе дошкольного образования</w:t>
      </w:r>
      <w:hyperlink r:id="rId5" w:history="1">
        <w:r w:rsidRPr="00CB4D85">
          <w:rPr>
            <w:rStyle w:val="a3"/>
            <w:rFonts w:ascii="Times New Roman" w:hAnsi="Times New Roman" w:cs="Times New Roman"/>
            <w:sz w:val="24"/>
            <w:szCs w:val="24"/>
          </w:rPr>
          <w:t>;</w:t>
        </w:r>
      </w:hyperlink>
    </w:p>
    <w:p w14:paraId="26873062" w14:textId="7720AB78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Согласие на обработку данных;</w:t>
      </w:r>
    </w:p>
    <w:p w14:paraId="2B57F1CD" w14:textId="77777777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Документ, удостоверяющий личность заявителя (паспорт гражданина Российской Федерации; временное удостоверение личности, выданное на период замены паспорта; паспорт иностранного гражданина; свидетельство, которое удостоверяет личность и подтверждает законность нахождения на территории на получение статуса беженца или временного переселенца; иные документы, удостоверяющие личность в соответствии с действующим законодательством)</w:t>
      </w:r>
    </w:p>
    <w:p w14:paraId="67E402E9" w14:textId="77777777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Документ, подтверждающий законность пребывания на территории Российской Федерации иностранного гражданина;</w:t>
      </w:r>
    </w:p>
    <w:p w14:paraId="3150A2C0" w14:textId="77777777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Документ, подтверждающий родство заявителя, являющегося иностранным гражданином (или законность представления прав ребенка);</w:t>
      </w:r>
    </w:p>
    <w:p w14:paraId="7D806E1F" w14:textId="0CB8128B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Документ, подтверждающий полномочия заявителя (в случае обращения опекуна), выданные не на территории Санкт-Петербурга; представлять интересы заявителя вправе доверенное лицо на основании документа, оформленного в соответствии с требованиями действующего законодательства, подтверждающего наличие у представителя прав действовать от лица заявителя и определяющего условия, и границы реализации права представителя на получение государственной услуги (доверенность, договор);</w:t>
      </w:r>
    </w:p>
    <w:p w14:paraId="430D9B50" w14:textId="29C4F312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ребёнка, выданный не на территории Санкт-Петербурга (свидетельство о рождении ребенка для граждан Российской Федерации, </w:t>
      </w:r>
      <w:r w:rsidR="00CB4D85" w:rsidRPr="00CB4D85">
        <w:rPr>
          <w:rFonts w:ascii="Times New Roman" w:hAnsi="Times New Roman" w:cs="Times New Roman"/>
          <w:sz w:val="24"/>
          <w:szCs w:val="24"/>
        </w:rPr>
        <w:t>Республики Казахстан</w:t>
      </w:r>
      <w:r w:rsidRPr="00CB4D85">
        <w:rPr>
          <w:rFonts w:ascii="Times New Roman" w:hAnsi="Times New Roman" w:cs="Times New Roman"/>
          <w:sz w:val="24"/>
          <w:szCs w:val="24"/>
        </w:rPr>
        <w:t xml:space="preserve">, Кыргызской Республики, </w:t>
      </w:r>
      <w:r w:rsidR="00CB4D85" w:rsidRPr="00CB4D85">
        <w:rPr>
          <w:rFonts w:ascii="Times New Roman" w:hAnsi="Times New Roman" w:cs="Times New Roman"/>
          <w:sz w:val="24"/>
          <w:szCs w:val="24"/>
        </w:rPr>
        <w:t>Республики Таджикистан</w:t>
      </w:r>
      <w:r w:rsidRPr="00CB4D85">
        <w:rPr>
          <w:rFonts w:ascii="Times New Roman" w:hAnsi="Times New Roman" w:cs="Times New Roman"/>
          <w:sz w:val="24"/>
          <w:szCs w:val="24"/>
        </w:rPr>
        <w:t>; удостоверение гражданина Республики Узбекистан; паспорт ребенка, являющегося иностранным гражданином, лицом без гражданства);</w:t>
      </w:r>
    </w:p>
    <w:p w14:paraId="7C0C363C" w14:textId="77777777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Документ, подтверждающий право на внеочередное или первоочередное зачисление ребенка в ГБДОУ детский сад (при наличии);</w:t>
      </w:r>
    </w:p>
    <w:p w14:paraId="6C73C331" w14:textId="0A76DE03" w:rsidR="00CB4D85" w:rsidRPr="00BA0901" w:rsidRDefault="00BA0901" w:rsidP="00BA0901">
      <w:pPr>
        <w:pStyle w:val="p1"/>
        <w:numPr>
          <w:ilvl w:val="0"/>
          <w:numId w:val="1"/>
        </w:numPr>
        <w:tabs>
          <w:tab w:val="clear" w:pos="720"/>
          <w:tab w:val="num" w:pos="284"/>
        </w:tabs>
        <w:spacing w:line="276" w:lineRule="auto"/>
        <w:ind w:left="-284" w:firstLine="568"/>
      </w:pPr>
      <w:r>
        <w:t xml:space="preserve">Заключение ТПМПК для постановки ребенка на учёт, перевода ребенка в ГБДОУ. </w:t>
      </w:r>
      <w:r w:rsidR="00CB4D85" w:rsidRPr="00BA0901">
        <w:t>Для постановки ребёнка на учёт или перевода в группу комбинированной, компенсирующей либо оздоровительной направленности требуется заключение ТПМПК. Оно действительно в течение календарного года с даты подписания и является основанием для предоставления места в соответствующей группе.</w:t>
      </w:r>
    </w:p>
    <w:p w14:paraId="65A90668" w14:textId="143911FD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Документ, подтверждающий регистрацию ребенка по месту жительства или по месту пребывания на территории Санкт-Петербурга (форма-3, форма-8, форма-9), в случае если ведение регистрационного учёта граждан по месту жительства в части, возложенной на жилищные организации, осуществляют не ГКУ ЖА;</w:t>
      </w:r>
    </w:p>
    <w:p w14:paraId="2067BD64" w14:textId="7DCB8C43" w:rsidR="00C729DD" w:rsidRPr="00CB4D85" w:rsidRDefault="00C729DD" w:rsidP="00CB4D85">
      <w:pPr>
        <w:numPr>
          <w:ilvl w:val="0"/>
          <w:numId w:val="1"/>
        </w:num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lastRenderedPageBreak/>
        <w:t>Для зачисления в ГБДОУ детский сад (при подаче документов) дополнительно предоставляется медицинская справка по форме 026/у-2000 (для поступающих в первые)</w:t>
      </w:r>
    </w:p>
    <w:tbl>
      <w:tblPr>
        <w:tblW w:w="10348" w:type="dxa"/>
        <w:tblCellSpacing w:w="0" w:type="dxa"/>
        <w:tblInd w:w="-575" w:type="dxa"/>
        <w:tblBorders>
          <w:top w:val="outset" w:sz="6" w:space="0" w:color="D9D9D9"/>
          <w:left w:val="outset" w:sz="6" w:space="0" w:color="D9D9D9"/>
          <w:bottom w:val="outset" w:sz="6" w:space="0" w:color="D9D9D9"/>
          <w:right w:val="outset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3518"/>
        <w:gridCol w:w="3428"/>
      </w:tblGrid>
      <w:tr w:rsidR="00BA0901" w:rsidRPr="00CB4D85" w14:paraId="2B1BAAF6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hideMark/>
          </w:tcPr>
          <w:p w14:paraId="46D97799" w14:textId="77777777" w:rsidR="00C729DD" w:rsidRPr="00FC7E07" w:rsidRDefault="00C729DD" w:rsidP="00BA0901">
            <w:pPr>
              <w:spacing w:line="276" w:lineRule="auto"/>
              <w:ind w:right="-2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Дети, родители (законные представители) которых имеют право на внеочередное зачисление ребенка в ОО: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hideMark/>
          </w:tcPr>
          <w:p w14:paraId="1FCE135B" w14:textId="77777777" w:rsidR="00C729DD" w:rsidRPr="00FC7E07" w:rsidRDefault="00C729DD" w:rsidP="00BA0901">
            <w:pPr>
              <w:spacing w:line="276" w:lineRule="auto"/>
              <w:ind w:left="-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Дети, родители (законные представители) которых имеют право на первоочередное зачисление ребенка в ОО: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hideMark/>
          </w:tcPr>
          <w:p w14:paraId="3FC95DAE" w14:textId="77777777" w:rsidR="00C729DD" w:rsidRPr="00FC7E07" w:rsidRDefault="00C729DD" w:rsidP="00BA0901">
            <w:pPr>
              <w:tabs>
                <w:tab w:val="left" w:pos="1"/>
              </w:tabs>
              <w:spacing w:line="276" w:lineRule="auto"/>
              <w:ind w:right="117" w:firstLine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Места в образовательных организациях по месту жительства в первоочередном порядке предоставляются также:</w:t>
            </w:r>
          </w:p>
        </w:tc>
      </w:tr>
      <w:tr w:rsidR="00BA0901" w:rsidRPr="00CB4D85" w14:paraId="2356A7B4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5F7A7588" w14:textId="77777777" w:rsidR="00C729DD" w:rsidRPr="00FC7E07" w:rsidRDefault="00C729DD" w:rsidP="00BA0901">
            <w:pPr>
              <w:spacing w:line="276" w:lineRule="auto"/>
              <w:ind w:firstLine="25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граждан из подразделений особого риска, а также семей, потерявших кормильца из числа этих граждан;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77FBDE42" w14:textId="77777777" w:rsidR="00C729DD" w:rsidRPr="00FC7E07" w:rsidRDefault="00C729DD" w:rsidP="00BA0901">
            <w:pPr>
              <w:spacing w:line="276" w:lineRule="auto"/>
              <w:ind w:lef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по месту жительства их семей;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148A93D9" w14:textId="77777777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детям сотрудника полиции</w:t>
            </w:r>
          </w:p>
        </w:tc>
      </w:tr>
      <w:tr w:rsidR="00BA0901" w:rsidRPr="00CB4D85" w14:paraId="33E36086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4E6C5CE3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граждан, подвергшихся воздействию радиации вследствие катастрофы на Чернобыльской АЭС, указанные в пунктах 1 - 4, 6, 11 статьи 13 Закона Российской Федерации от 15.05.1991 N 1244-1 "О социальной защите граждан, подвергшихся воздействию радиации вследствие катастрофы на Чернобыльской АЭС"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2E3448A8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из многодетных семей 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26D426DB" w14:textId="77777777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BA0901" w:rsidRPr="00CB4D85" w14:paraId="5A0B2677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34FABAAA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прокуроров;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11D7D843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из неполных семей, находящихся в трудной жизненной ситуации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20904747" w14:textId="77777777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детям сотрудника полиции, умершего вследствие заболевания, полученного в период прохождения службы в полиции</w:t>
            </w:r>
          </w:p>
        </w:tc>
      </w:tr>
      <w:tr w:rsidR="00BA0901" w:rsidRPr="00CB4D85" w14:paraId="74870890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78CF7B7E" w14:textId="77777777" w:rsidR="00C729DD" w:rsidRPr="00FC7E07" w:rsidRDefault="00C729DD" w:rsidP="00BA0901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сотрудников Следственного комитета Российской Федерации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4AC18FED" w14:textId="22BAFF56" w:rsidR="00C729DD" w:rsidRPr="00FC7E07" w:rsidRDefault="00C729DD" w:rsidP="00BA0901">
            <w:pPr>
              <w:spacing w:line="276" w:lineRule="auto"/>
              <w:ind w:left="-30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дети-инвалиды и дети, один из родителей, которых является инвалидом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7EBB5A60" w14:textId="77777777" w:rsidR="00C729DD" w:rsidRPr="00FC7E07" w:rsidRDefault="00C729DD" w:rsidP="00BA090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</w:p>
        </w:tc>
      </w:tr>
      <w:tr w:rsidR="00BA0901" w:rsidRPr="00CB4D85" w14:paraId="43F45B2A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7B606788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судей Российской Федерации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3C70C9E9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из семей, в которой воспитывается ребенок-инвалид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4DFED313" w14:textId="77777777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</w:tr>
      <w:tr w:rsidR="00BA0901" w:rsidRPr="00CB4D85" w14:paraId="4F9D00E6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105A3D3E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70EC24F9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дети, братья и сестры которых посещают данную ОО на дату поступления ребенка в ОО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2E53602A" w14:textId="77777777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детям, находящимся (находившимся) на иждивении сотрудника полиции, гражданина Российской Федерации, указанных в абзацах десятом - четырнадцатом настоящего пункта</w:t>
            </w:r>
          </w:p>
        </w:tc>
      </w:tr>
      <w:tr w:rsidR="00BA0901" w:rsidRPr="00CB4D85" w14:paraId="61036A71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553868FF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7020D89F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дети, родитель (законный представитель) которых занимает штатную должность в данной ОО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372351BC" w14:textId="77777777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детям сотрудников органов внутренних дел, не являющихся сотрудниками полиции</w:t>
            </w:r>
          </w:p>
        </w:tc>
      </w:tr>
      <w:tr w:rsidR="00BA0901" w:rsidRPr="00CB4D85" w14:paraId="7476CC77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5B176663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2BBFCF0A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78767BC2" w14:textId="7BA94BC5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 xml:space="preserve">дети гражданина Российской Федерации, имевшего специальное звание и проходившего службу в учреждениях и органах </w:t>
            </w:r>
            <w:r w:rsidR="00FC7E07" w:rsidRPr="00FC7E07">
              <w:rPr>
                <w:rFonts w:ascii="Times New Roman" w:hAnsi="Times New Roman" w:cs="Times New Roman"/>
                <w:sz w:val="20"/>
                <w:szCs w:val="20"/>
              </w:rPr>
              <w:t>уголовно исполнительной</w:t>
            </w: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 xml:space="preserve">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уволенного со службы в указанных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указанных учреждениях и органах</w:t>
            </w:r>
          </w:p>
        </w:tc>
      </w:tr>
      <w:tr w:rsidR="00BA0901" w:rsidRPr="00CB4D85" w14:paraId="06014EFC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0C8EEF57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628084B1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776F5AF5" w14:textId="77777777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</w:tr>
      <w:tr w:rsidR="00BA0901" w:rsidRPr="00CB4D85" w14:paraId="45556306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7B3FD543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5AE562A0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2D05748F" w14:textId="77777777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дети сотрудника, имеющего специальные звания и проходившего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</w:t>
            </w:r>
          </w:p>
        </w:tc>
      </w:tr>
      <w:tr w:rsidR="00BA0901" w:rsidRPr="00CB4D85" w14:paraId="602D2670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77C4A52F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4E01EB44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3AAB7ED3" w14:textId="5493F511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 xml:space="preserve">детям сотрудника, имеющего специальные звания и проходившего службу в учреждениях и органах уголовно-исполнительной системы, органах принудительного </w:t>
            </w:r>
            <w:r w:rsidR="00FC7E07" w:rsidRPr="00FC7E07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 xml:space="preserve"> РФ, федеральной противопожарной службе Государственной противопожарной службы, умершего вследствие заболевания, полученного в период прохождения службы в учреждениях и органах</w:t>
            </w:r>
          </w:p>
        </w:tc>
      </w:tr>
      <w:tr w:rsidR="00BA0901" w:rsidRPr="00CB4D85" w14:paraId="687AF81E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3F2882F6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1034DCE7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570B52F9" w14:textId="2D353AF2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Российской Федерации</w:t>
            </w:r>
          </w:p>
        </w:tc>
      </w:tr>
      <w:tr w:rsidR="00BA0901" w:rsidRPr="00CB4D85" w14:paraId="068B3C91" w14:textId="77777777" w:rsidTr="00BA0901">
        <w:trPr>
          <w:tblCellSpacing w:w="0" w:type="dxa"/>
        </w:trPr>
        <w:tc>
          <w:tcPr>
            <w:tcW w:w="3402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508D72AF" w14:textId="77777777" w:rsidR="00C729DD" w:rsidRPr="00FC7E07" w:rsidRDefault="00C729DD" w:rsidP="00BA0901">
            <w:pPr>
              <w:spacing w:line="276" w:lineRule="auto"/>
              <w:ind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51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5D7590F8" w14:textId="77777777" w:rsidR="00C729DD" w:rsidRPr="00FC7E07" w:rsidRDefault="00C729DD" w:rsidP="00BA0901">
            <w:pPr>
              <w:spacing w:line="276" w:lineRule="auto"/>
              <w:ind w:left="-30" w:firstLine="568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28" w:type="dxa"/>
            <w:tcBorders>
              <w:top w:val="outset" w:sz="6" w:space="0" w:color="D9D9D9"/>
              <w:left w:val="outset" w:sz="6" w:space="0" w:color="D9D9D9"/>
              <w:bottom w:val="outset" w:sz="6" w:space="0" w:color="D9D9D9"/>
              <w:right w:val="outset" w:sz="6" w:space="0" w:color="D9D9D9"/>
            </w:tcBorders>
            <w:shd w:val="clear" w:color="auto" w:fill="FFFFFF"/>
            <w:vAlign w:val="center"/>
            <w:hideMark/>
          </w:tcPr>
          <w:p w14:paraId="02475B6E" w14:textId="77777777" w:rsidR="00C729DD" w:rsidRPr="00FC7E07" w:rsidRDefault="00C729DD" w:rsidP="00BA0901">
            <w:pPr>
              <w:spacing w:line="276" w:lineRule="auto"/>
              <w:ind w:firstLine="5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7E07">
              <w:rPr>
                <w:rFonts w:ascii="Times New Roman" w:hAnsi="Times New Roman" w:cs="Times New Roman"/>
                <w:sz w:val="20"/>
                <w:szCs w:val="20"/>
              </w:rPr>
              <w:t xml:space="preserve">детям, находящимся (находившимся) на иждивении сотрудника, имеющего специальные звания и проходящего службу в учреждениях и органах уголовно-исполнительной системы, органах принудительного исполнения РФ, федеральной противопожарной службе Государственной противопожарной службы и таможенных органах Российской Федерации, гражданина Российской Федерации, указанных в абзацах 16 - 20 настоящего пункта (пункты 1 - 5 части 14 статьи 3 Федерального закона от 30.12.2012 N 283-ФЗ "О социальных гарантиях сотрудникам некоторых федеральных </w:t>
            </w:r>
            <w:r w:rsidRPr="00FC7E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органов исполнительной власти и внесении изменений в отдельные законодательные акты Российской Федерации")</w:t>
            </w:r>
          </w:p>
        </w:tc>
      </w:tr>
    </w:tbl>
    <w:p w14:paraId="46F1028A" w14:textId="484CD3BA" w:rsidR="00C729DD" w:rsidRPr="00BA0901" w:rsidRDefault="00C729DD" w:rsidP="00BA090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Оплата за содержание детей в ГБДОУ</w:t>
      </w:r>
    </w:p>
    <w:p w14:paraId="26FB3B0B" w14:textId="77777777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6" w:history="1">
        <w:r w:rsidRPr="00FC7E0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 Санкт-Петербурга от 26 июня 2024 года "О внесении изменений в Закон Санкт-Петербурга "Социальный кодекс Санкт-Петербурга"</w:t>
        </w:r>
      </w:hyperlink>
      <w:r w:rsidRPr="00CB4D85">
        <w:rPr>
          <w:rFonts w:ascii="Times New Roman" w:hAnsi="Times New Roman" w:cs="Times New Roman"/>
          <w:sz w:val="24"/>
          <w:szCs w:val="24"/>
        </w:rPr>
        <w:t>  с 01 сентября 2024 года родительская плата за присмотр и уход за детьми в государственных дошкольных образовательных учреждениях, осуществляющих образовательную деятельность по реализации образовательных программ дошкольного образования, </w:t>
      </w:r>
      <w:r w:rsidRPr="00CB4D85">
        <w:rPr>
          <w:rFonts w:ascii="Times New Roman" w:hAnsi="Times New Roman" w:cs="Times New Roman"/>
          <w:b/>
          <w:bCs/>
          <w:sz w:val="24"/>
          <w:szCs w:val="24"/>
        </w:rPr>
        <w:t>не взимается не зависимо от места жительства, места пребывания и гражданства</w:t>
      </w:r>
      <w:r w:rsidRPr="00CB4D85">
        <w:rPr>
          <w:rFonts w:ascii="Times New Roman" w:hAnsi="Times New Roman" w:cs="Times New Roman"/>
          <w:sz w:val="24"/>
          <w:szCs w:val="24"/>
        </w:rPr>
        <w:t> </w:t>
      </w:r>
    </w:p>
    <w:p w14:paraId="0F14DB22" w14:textId="77777777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>С 1 января 2014 года все заявления в дошкольные образовательные учреждения подаются только в электронном виде.</w:t>
      </w:r>
    </w:p>
    <w:p w14:paraId="2E275B6E" w14:textId="77777777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>Подать заявление в детский сад родители (законные представители) могут следующими способами:</w:t>
      </w:r>
    </w:p>
    <w:p w14:paraId="36EB47A7" w14:textId="0CBC6E5A" w:rsidR="00C729DD" w:rsidRPr="000A3A98" w:rsidRDefault="00C729DD" w:rsidP="000A3A98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>самостоятельно заполнив заявление установленной формы на портале «Государственные услуги в Санкт-Петербурге»;  </w:t>
      </w:r>
    </w:p>
    <w:p w14:paraId="7B28B073" w14:textId="4E72DC1F" w:rsidR="00C729DD" w:rsidRPr="000A3A98" w:rsidRDefault="00C729DD" w:rsidP="000A3A98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>в Санкт-Петербургском государственном учреждении «Многофункциональный центр предоставления государственных услуг», структурных подразделениях;</w:t>
      </w:r>
    </w:p>
    <w:p w14:paraId="44B10E7D" w14:textId="4D974F51" w:rsidR="00CB4D85" w:rsidRPr="000A3A98" w:rsidRDefault="00C729DD" w:rsidP="000A3A98">
      <w:pPr>
        <w:pStyle w:val="a5"/>
        <w:numPr>
          <w:ilvl w:val="0"/>
          <w:numId w:val="9"/>
        </w:numPr>
        <w:spacing w:line="276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A3A98">
        <w:rPr>
          <w:rFonts w:ascii="Times New Roman" w:hAnsi="Times New Roman" w:cs="Times New Roman"/>
          <w:sz w:val="24"/>
          <w:szCs w:val="24"/>
        </w:rPr>
        <w:t>Для получения направления для устройства ребенка в детский сад необходимо обратиться в отдел образования Адмиралтейского района города Санкт-Петербург. </w:t>
      </w:r>
    </w:p>
    <w:p w14:paraId="50C39E3A" w14:textId="08C746C6" w:rsidR="00BA0901" w:rsidRDefault="00BA0901" w:rsidP="000A3A98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BA0901">
        <w:rPr>
          <w:rFonts w:ascii="Times New Roman" w:hAnsi="Times New Roman" w:cs="Times New Roman"/>
          <w:b/>
          <w:bCs/>
          <w:sz w:val="24"/>
          <w:szCs w:val="24"/>
        </w:rPr>
        <w:t>тдел образования Адмиралтейского района города Санкт-Петербург.</w:t>
      </w:r>
    </w:p>
    <w:p w14:paraId="7D877CB9" w14:textId="04E7EEDF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>Адрес</w:t>
      </w:r>
      <w:r w:rsidRPr="00CB4D85">
        <w:rPr>
          <w:rFonts w:ascii="Times New Roman" w:hAnsi="Times New Roman" w:cs="Times New Roman"/>
          <w:sz w:val="24"/>
          <w:szCs w:val="24"/>
        </w:rPr>
        <w:t>: 190013, Санкт-Петербург, Загородный проспект, дом 58.</w:t>
      </w:r>
    </w:p>
    <w:p w14:paraId="51C8D285" w14:textId="143741B4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(1 этаж, кабинет №104), по месту работы "Комиссии по комплектованию" государственных образовательных учреждений Адмиралтейского района Санкт-Петербурга, реализующих основную общеобразовательную программу дошкольного образования. </w:t>
      </w:r>
    </w:p>
    <w:p w14:paraId="20412856" w14:textId="77777777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>Часы приема районного отдела образования</w:t>
      </w:r>
      <w:r w:rsidRPr="00CB4D85">
        <w:rPr>
          <w:rFonts w:ascii="Times New Roman" w:hAnsi="Times New Roman" w:cs="Times New Roman"/>
          <w:sz w:val="24"/>
          <w:szCs w:val="24"/>
        </w:rPr>
        <w:t>: </w:t>
      </w:r>
    </w:p>
    <w:p w14:paraId="2B1FF5B0" w14:textId="77777777" w:rsidR="00BA0901" w:rsidRDefault="00C729DD" w:rsidP="00BA090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вторник с 15.00 до 18.00, </w:t>
      </w:r>
    </w:p>
    <w:p w14:paraId="0895C5EC" w14:textId="3ED276AF" w:rsidR="00C729DD" w:rsidRPr="00CB4D85" w:rsidRDefault="00C729DD" w:rsidP="00BA090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четверг с 10.00 до 13.00.</w:t>
      </w:r>
    </w:p>
    <w:p w14:paraId="74D69279" w14:textId="77777777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(в летнее время - вторник с 15.00 до 18.00)</w:t>
      </w:r>
    </w:p>
    <w:p w14:paraId="66BE1E72" w14:textId="26E06512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> Председатель комиссии по комплектованию образовательных организаций Адмиралтейского района г. Санкт-Петербурга</w:t>
      </w:r>
      <w:r w:rsidRPr="00CB4D85">
        <w:rPr>
          <w:rFonts w:ascii="Times New Roman" w:hAnsi="Times New Roman" w:cs="Times New Roman"/>
          <w:sz w:val="24"/>
          <w:szCs w:val="24"/>
        </w:rPr>
        <w:t> - </w:t>
      </w:r>
      <w:proofErr w:type="spellStart"/>
      <w:r w:rsidRPr="00CB4D85">
        <w:rPr>
          <w:rFonts w:ascii="Times New Roman" w:hAnsi="Times New Roman" w:cs="Times New Roman"/>
          <w:b/>
          <w:bCs/>
          <w:sz w:val="24"/>
          <w:szCs w:val="24"/>
        </w:rPr>
        <w:t>Ивашедкина</w:t>
      </w:r>
      <w:proofErr w:type="spellEnd"/>
      <w:r w:rsidRPr="00CB4D85">
        <w:rPr>
          <w:rFonts w:ascii="Times New Roman" w:hAnsi="Times New Roman" w:cs="Times New Roman"/>
          <w:b/>
          <w:bCs/>
          <w:sz w:val="24"/>
          <w:szCs w:val="24"/>
        </w:rPr>
        <w:t xml:space="preserve"> Ольга Анатольевна</w:t>
      </w:r>
    </w:p>
    <w:p w14:paraId="26A2EA3C" w14:textId="07E4D2FA" w:rsidR="00C729DD" w:rsidRPr="00CB4D85" w:rsidRDefault="00C729DD" w:rsidP="00CB4D85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b/>
          <w:bCs/>
          <w:sz w:val="24"/>
          <w:szCs w:val="24"/>
        </w:rPr>
        <w:t>Телефон</w:t>
      </w:r>
      <w:r w:rsidRPr="00CB4D85">
        <w:rPr>
          <w:rFonts w:ascii="Times New Roman" w:hAnsi="Times New Roman" w:cs="Times New Roman"/>
          <w:sz w:val="24"/>
          <w:szCs w:val="24"/>
        </w:rPr>
        <w:t>: (812) 576-19-12</w:t>
      </w:r>
    </w:p>
    <w:p w14:paraId="6919EFC4" w14:textId="74608FDE" w:rsidR="00E140C3" w:rsidRPr="00CB4D85" w:rsidRDefault="00C729DD" w:rsidP="00BA0901">
      <w:pPr>
        <w:spacing w:line="276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B4D85">
        <w:rPr>
          <w:rFonts w:ascii="Times New Roman" w:hAnsi="Times New Roman" w:cs="Times New Roman"/>
          <w:sz w:val="24"/>
          <w:szCs w:val="24"/>
        </w:rPr>
        <w:t>секретарь: (812) 576-19-10</w:t>
      </w:r>
    </w:p>
    <w:sectPr w:rsidR="00E140C3" w:rsidRPr="00CB4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1F62"/>
    <w:multiLevelType w:val="hybridMultilevel"/>
    <w:tmpl w:val="63029F8A"/>
    <w:lvl w:ilvl="0" w:tplc="DDC4451A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14CEF"/>
    <w:multiLevelType w:val="hybridMultilevel"/>
    <w:tmpl w:val="6DC6A79C"/>
    <w:lvl w:ilvl="0" w:tplc="A1D87E2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830B2"/>
    <w:multiLevelType w:val="hybridMultilevel"/>
    <w:tmpl w:val="BE9E61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2BE0BF5"/>
    <w:multiLevelType w:val="hybridMultilevel"/>
    <w:tmpl w:val="B69AD070"/>
    <w:lvl w:ilvl="0" w:tplc="A1D87E2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E67C1"/>
    <w:multiLevelType w:val="hybridMultilevel"/>
    <w:tmpl w:val="049AF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65C92"/>
    <w:multiLevelType w:val="hybridMultilevel"/>
    <w:tmpl w:val="2DB4A57E"/>
    <w:lvl w:ilvl="0" w:tplc="A1D87E2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2279C"/>
    <w:multiLevelType w:val="hybridMultilevel"/>
    <w:tmpl w:val="3A1E1FB6"/>
    <w:lvl w:ilvl="0" w:tplc="A1D87E2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129C5"/>
    <w:multiLevelType w:val="multilevel"/>
    <w:tmpl w:val="4E660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921EFD"/>
    <w:multiLevelType w:val="hybridMultilevel"/>
    <w:tmpl w:val="2ACAED82"/>
    <w:lvl w:ilvl="0" w:tplc="A1D87E26">
      <w:start w:val="1"/>
      <w:numFmt w:val="bullet"/>
      <w:lvlText w:val="–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DD"/>
    <w:rsid w:val="000A3A98"/>
    <w:rsid w:val="00BA0901"/>
    <w:rsid w:val="00C729DD"/>
    <w:rsid w:val="00CB4D85"/>
    <w:rsid w:val="00CF0235"/>
    <w:rsid w:val="00E140C3"/>
    <w:rsid w:val="00FC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EC8E"/>
  <w15:chartTrackingRefBased/>
  <w15:docId w15:val="{03BBDACD-C7D9-4B5C-B009-C4EE3195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9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29DD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CB4D85"/>
    <w:pPr>
      <w:ind w:left="720"/>
      <w:contextualSpacing/>
    </w:pPr>
  </w:style>
  <w:style w:type="paragraph" w:customStyle="1" w:styleId="p1">
    <w:name w:val="p1"/>
    <w:basedOn w:val="a"/>
    <w:rsid w:val="00BA0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5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1.nubex.ru/s4776-035/f2921_b1/%D0%97%D0%B0%D0%BA%D0%BE%D0%BD%20%D0%BE%20%D1%80%D0%BE%D0%B4%20%D0%BF%D0%BB%D0%B0%D1%82%D0%B5.pdf" TargetMode="External"/><Relationship Id="rId5" Type="http://schemas.openxmlformats.org/officeDocument/2006/relationships/hyperlink" Target="https://r1.nubex.ru/s4776-035/f2740_be/%D0%94%D0%BE%D0%B3%D0%BE%D0%B2%D0%BE%D1%80%20%D1%81%20%D1%80%D0%BE%D0%B4%D0%B8%D1%82%D0%B5%D0%BB%D1%8F%D0%BC%D0%B8%202023%20-%20%D1%81%D0%B0%D0%B4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1998</Words>
  <Characters>11391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 Гарайс</dc:creator>
  <cp:keywords/>
  <dc:description/>
  <cp:lastModifiedBy>Настя Гарайс</cp:lastModifiedBy>
  <cp:revision>5</cp:revision>
  <cp:lastPrinted>2025-10-14T14:18:00Z</cp:lastPrinted>
  <dcterms:created xsi:type="dcterms:W3CDTF">2025-10-14T13:02:00Z</dcterms:created>
  <dcterms:modified xsi:type="dcterms:W3CDTF">2025-10-14T14:22:00Z</dcterms:modified>
</cp:coreProperties>
</file>